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9C61" w14:textId="77777777" w:rsidR="00D2200F" w:rsidRPr="00EF6C6F" w:rsidRDefault="00D2200F" w:rsidP="00AC46E9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EF6C6F">
        <w:rPr>
          <w:rFonts w:eastAsia="Adobe Fangsong Std R"/>
          <w:color w:val="00B0F0"/>
          <w:sz w:val="32"/>
          <w:szCs w:val="32"/>
        </w:rPr>
        <w:t>Roteiro de Homologa</w:t>
      </w:r>
      <w:r w:rsidRPr="00EF6C6F">
        <w:rPr>
          <w:rFonts w:eastAsia="MS Mincho"/>
          <w:color w:val="00B0F0"/>
          <w:sz w:val="32"/>
          <w:szCs w:val="32"/>
        </w:rPr>
        <w:t>çã</w:t>
      </w:r>
      <w:r w:rsidRPr="00EF6C6F">
        <w:rPr>
          <w:rFonts w:eastAsia="Adobe Fangsong Std R"/>
          <w:color w:val="00B0F0"/>
          <w:sz w:val="32"/>
          <w:szCs w:val="32"/>
        </w:rPr>
        <w:t>o</w:t>
      </w:r>
    </w:p>
    <w:p w14:paraId="357F31EC" w14:textId="77777777" w:rsidR="00D2200F" w:rsidRPr="00066C51" w:rsidRDefault="00D2200F" w:rsidP="00AC46E9">
      <w:pPr>
        <w:pStyle w:val="CENTARI-12"/>
        <w:rPr>
          <w:sz w:val="24"/>
          <w:szCs w:val="24"/>
        </w:rPr>
      </w:pPr>
    </w:p>
    <w:p w14:paraId="6BAAE7CC" w14:textId="5092B7BB" w:rsidR="00D2200F" w:rsidRPr="00066C51" w:rsidRDefault="00D2200F" w:rsidP="00AC46E9">
      <w:pPr>
        <w:pStyle w:val="CENTARI-12"/>
        <w:jc w:val="left"/>
        <w:rPr>
          <w:sz w:val="24"/>
          <w:szCs w:val="24"/>
        </w:rPr>
      </w:pPr>
      <w:r w:rsidRPr="00066C51">
        <w:rPr>
          <w:sz w:val="24"/>
          <w:szCs w:val="24"/>
        </w:rPr>
        <w:t xml:space="preserve">Tela: </w:t>
      </w:r>
      <w:r w:rsidR="005C3AA3" w:rsidRPr="005C3AA3">
        <w:rPr>
          <w:sz w:val="24"/>
          <w:szCs w:val="24"/>
        </w:rPr>
        <w:t>SAT</w:t>
      </w:r>
      <w:r w:rsidR="00260CCF">
        <w:rPr>
          <w:sz w:val="24"/>
          <w:szCs w:val="24"/>
        </w:rPr>
        <w:t>Backup</w:t>
      </w:r>
    </w:p>
    <w:p w14:paraId="168B7EBD" w14:textId="26A6B866" w:rsidR="00D2200F" w:rsidRPr="00066C51" w:rsidRDefault="004E556C" w:rsidP="00AC46E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Versão: 20</w:t>
      </w:r>
      <w:r w:rsidR="00181C93">
        <w:rPr>
          <w:sz w:val="24"/>
          <w:szCs w:val="24"/>
        </w:rPr>
        <w:t>2</w:t>
      </w:r>
      <w:r w:rsidR="006872EB">
        <w:rPr>
          <w:sz w:val="24"/>
          <w:szCs w:val="24"/>
        </w:rPr>
        <w:t>2</w:t>
      </w:r>
    </w:p>
    <w:p w14:paraId="0089D56E" w14:textId="77777777" w:rsidR="00F0045D" w:rsidRDefault="00D2200F" w:rsidP="00AC46E9">
      <w:pPr>
        <w:pStyle w:val="CENTARI-12"/>
        <w:jc w:val="both"/>
        <w:rPr>
          <w:sz w:val="24"/>
          <w:szCs w:val="24"/>
        </w:rPr>
      </w:pPr>
      <w:r w:rsidRPr="00066C51">
        <w:rPr>
          <w:sz w:val="24"/>
          <w:szCs w:val="24"/>
        </w:rPr>
        <w:t>Compilação:</w:t>
      </w:r>
      <w:r w:rsidRPr="00E91DEE">
        <w:t xml:space="preserve"> </w:t>
      </w:r>
      <w:r w:rsidR="00081E03">
        <w:rPr>
          <w:sz w:val="24"/>
          <w:szCs w:val="24"/>
        </w:rPr>
        <w:t>200106A</w:t>
      </w:r>
    </w:p>
    <w:p w14:paraId="42CD9C5A" w14:textId="5AC4CA9D" w:rsidR="00D2200F" w:rsidRDefault="00803ECF" w:rsidP="00AC46E9">
      <w:pPr>
        <w:pStyle w:val="CENTARI-12"/>
        <w:jc w:val="both"/>
        <w:rPr>
          <w:b w:val="0"/>
          <w:sz w:val="24"/>
          <w:szCs w:val="24"/>
        </w:rPr>
      </w:pPr>
      <w:r w:rsidRPr="00066C51">
        <w:rPr>
          <w:sz w:val="24"/>
          <w:szCs w:val="24"/>
        </w:rPr>
        <w:t>Homologado por</w:t>
      </w:r>
      <w:r w:rsidR="00D2200F" w:rsidRPr="00066C51">
        <w:rPr>
          <w:sz w:val="24"/>
          <w:szCs w:val="24"/>
        </w:rPr>
        <w:t xml:space="preserve">: </w:t>
      </w:r>
      <w:r w:rsidR="007E6C93">
        <w:rPr>
          <w:b w:val="0"/>
          <w:sz w:val="24"/>
          <w:szCs w:val="24"/>
        </w:rPr>
        <w:t>Larisa Matos</w:t>
      </w:r>
    </w:p>
    <w:p w14:paraId="64F3F5CC" w14:textId="157367EB" w:rsidR="00CB3579" w:rsidRDefault="00CB3579" w:rsidP="00AC46E9">
      <w:pPr>
        <w:pStyle w:val="CENTARI-12"/>
        <w:jc w:val="both"/>
        <w:rPr>
          <w:bCs/>
          <w:sz w:val="24"/>
          <w:szCs w:val="24"/>
        </w:rPr>
      </w:pPr>
      <w:r w:rsidRPr="00CB3579">
        <w:rPr>
          <w:bCs/>
          <w:sz w:val="24"/>
          <w:szCs w:val="24"/>
        </w:rPr>
        <w:t>TestComplete14.</w:t>
      </w:r>
    </w:p>
    <w:p w14:paraId="07664FC8" w14:textId="77777777" w:rsidR="008F280E" w:rsidRPr="00CB3579" w:rsidRDefault="008F280E" w:rsidP="00AC46E9">
      <w:pPr>
        <w:pStyle w:val="CENTARI-12"/>
        <w:jc w:val="both"/>
        <w:rPr>
          <w:bCs/>
          <w:sz w:val="24"/>
          <w:szCs w:val="24"/>
        </w:rPr>
      </w:pPr>
    </w:p>
    <w:p w14:paraId="37FC69D7" w14:textId="0B51494F" w:rsidR="00AC46E9" w:rsidRPr="008F280E" w:rsidRDefault="00D2200F" w:rsidP="008F280E">
      <w:pPr>
        <w:pStyle w:val="CENTARI-12"/>
        <w:ind w:left="2160" w:firstLine="720"/>
        <w:jc w:val="left"/>
        <w:rPr>
          <w:color w:val="00B0F0"/>
          <w:sz w:val="32"/>
          <w:szCs w:val="32"/>
        </w:rPr>
      </w:pPr>
      <w:r w:rsidRPr="00EF6C6F">
        <w:rPr>
          <w:color w:val="00B0F0"/>
          <w:sz w:val="32"/>
          <w:szCs w:val="32"/>
        </w:rPr>
        <w:t>Testes básicos</w:t>
      </w:r>
    </w:p>
    <w:p w14:paraId="69753332" w14:textId="77777777"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14:paraId="5039FA0D" w14:textId="77777777" w:rsidR="00B24BFF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SAT.EXE</w:t>
      </w:r>
    </w:p>
    <w:p w14:paraId="5B3AAC59" w14:textId="77777777" w:rsidR="004410B9" w:rsidRPr="00073BB5" w:rsidRDefault="004410B9" w:rsidP="00B24BF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200102A</w:t>
      </w:r>
    </w:p>
    <w:p w14:paraId="74F2B42F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260CCF">
        <w:rPr>
          <w:b w:val="0"/>
          <w:sz w:val="24"/>
          <w:szCs w:val="24"/>
        </w:rPr>
        <w:t>Backup</w:t>
      </w:r>
      <w:r w:rsidR="00FE2F6B">
        <w:rPr>
          <w:b w:val="0"/>
          <w:sz w:val="24"/>
          <w:szCs w:val="24"/>
        </w:rPr>
        <w:t>.exe</w:t>
      </w:r>
    </w:p>
    <w:p w14:paraId="1DF777D2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a tela no Menu do SAT Principal.</w:t>
      </w:r>
    </w:p>
    <w:p w14:paraId="39BC79CC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14:paraId="0E995E08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260CCF">
        <w:rPr>
          <w:b w:val="0"/>
          <w:sz w:val="24"/>
          <w:szCs w:val="24"/>
        </w:rPr>
        <w:t>Backup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última versão. </w:t>
      </w:r>
    </w:p>
    <w:p w14:paraId="2CB900FF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</w:p>
    <w:p w14:paraId="5067F0EE" w14:textId="77777777"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14:paraId="3E92C070" w14:textId="77777777" w:rsidR="00B24BFF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Atualiza.EXE</w:t>
      </w:r>
    </w:p>
    <w:p w14:paraId="1EED6AB2" w14:textId="77777777" w:rsidR="004410B9" w:rsidRPr="00073BB5" w:rsidRDefault="004410B9" w:rsidP="00B24BF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200103A</w:t>
      </w:r>
    </w:p>
    <w:p w14:paraId="1522F89F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260CCF">
        <w:rPr>
          <w:b w:val="0"/>
          <w:sz w:val="24"/>
          <w:szCs w:val="24"/>
        </w:rPr>
        <w:t>Backup</w:t>
      </w:r>
      <w:r w:rsidR="00420D9A">
        <w:rPr>
          <w:b w:val="0"/>
          <w:sz w:val="24"/>
          <w:szCs w:val="24"/>
        </w:rPr>
        <w:t>.exe</w:t>
      </w:r>
    </w:p>
    <w:p w14:paraId="79A8A9F3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Rede Local.</w:t>
      </w:r>
    </w:p>
    <w:p w14:paraId="568CC656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14:paraId="71A1C335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260CCF">
        <w:rPr>
          <w:b w:val="0"/>
          <w:sz w:val="24"/>
          <w:szCs w:val="24"/>
        </w:rPr>
        <w:t>Backup</w:t>
      </w:r>
      <w:r w:rsidR="00420D9A">
        <w:rPr>
          <w:b w:val="0"/>
          <w:sz w:val="24"/>
          <w:szCs w:val="24"/>
        </w:rPr>
        <w:t>.exe</w:t>
      </w:r>
      <w:r w:rsidR="00420D9A" w:rsidRPr="00073BB5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>para a versão que está na pasta de</w:t>
      </w:r>
      <w:r w:rsidR="00804BDB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 xml:space="preserve">atualização. </w:t>
      </w:r>
    </w:p>
    <w:p w14:paraId="65CAACA8" w14:textId="77777777" w:rsidR="00B24BFF" w:rsidRPr="00073BB5" w:rsidRDefault="00B24BFF" w:rsidP="00B24BFF">
      <w:pPr>
        <w:pStyle w:val="CENTARI-12"/>
        <w:jc w:val="both"/>
        <w:rPr>
          <w:sz w:val="24"/>
          <w:szCs w:val="24"/>
        </w:rPr>
      </w:pPr>
    </w:p>
    <w:p w14:paraId="2B4E9228" w14:textId="77777777"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14:paraId="0049DC4E" w14:textId="77777777" w:rsidR="009706F7" w:rsidRDefault="009706F7" w:rsidP="009706F7">
      <w:pPr>
        <w:pStyle w:val="CENTARI-12"/>
        <w:jc w:val="both"/>
        <w:rPr>
          <w:b w:val="0"/>
          <w:sz w:val="24"/>
          <w:szCs w:val="24"/>
        </w:rPr>
      </w:pPr>
      <w:r w:rsidRPr="009706F7">
        <w:rPr>
          <w:b w:val="0"/>
          <w:sz w:val="24"/>
          <w:szCs w:val="24"/>
        </w:rPr>
        <w:t>SATAtualizacaoInternet.EXE</w:t>
      </w:r>
    </w:p>
    <w:p w14:paraId="2C9552A9" w14:textId="77777777" w:rsidR="004410B9" w:rsidRPr="009706F7" w:rsidRDefault="004410B9" w:rsidP="009706F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200108A</w:t>
      </w:r>
    </w:p>
    <w:p w14:paraId="7790EB51" w14:textId="77777777" w:rsidR="00B24BFF" w:rsidRPr="00073BB5" w:rsidRDefault="00B24BFF" w:rsidP="009706F7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260CCF">
        <w:rPr>
          <w:b w:val="0"/>
          <w:sz w:val="24"/>
          <w:szCs w:val="24"/>
        </w:rPr>
        <w:t>Backup</w:t>
      </w:r>
      <w:r w:rsidR="00420D9A">
        <w:rPr>
          <w:b w:val="0"/>
          <w:sz w:val="24"/>
          <w:szCs w:val="24"/>
        </w:rPr>
        <w:t>.exe.</w:t>
      </w:r>
    </w:p>
    <w:p w14:paraId="0DA08D6C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Configurar uma pasta no FTP com o executável dentro.</w:t>
      </w:r>
    </w:p>
    <w:p w14:paraId="635E199C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Internet.</w:t>
      </w:r>
    </w:p>
    <w:p w14:paraId="2C096A69" w14:textId="77777777"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 xml:space="preserve">: Conseguir atualizar o </w:t>
      </w:r>
      <w:r w:rsidR="00260CCF">
        <w:rPr>
          <w:b w:val="0"/>
          <w:sz w:val="24"/>
          <w:szCs w:val="24"/>
        </w:rPr>
        <w:t>Backup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a versão que está no FTP.</w:t>
      </w:r>
    </w:p>
    <w:p w14:paraId="004417D7" w14:textId="77777777" w:rsidR="00803ECF" w:rsidRPr="00073BB5" w:rsidRDefault="00803ECF" w:rsidP="00803ECF">
      <w:pPr>
        <w:pStyle w:val="CENTARI-12"/>
        <w:jc w:val="both"/>
        <w:rPr>
          <w:b w:val="0"/>
          <w:sz w:val="24"/>
          <w:szCs w:val="24"/>
        </w:rPr>
      </w:pPr>
    </w:p>
    <w:p w14:paraId="4F53307A" w14:textId="77777777" w:rsidR="00803ECF" w:rsidRPr="00073BB5" w:rsidRDefault="00803ECF" w:rsidP="0061059D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14:paraId="457799F4" w14:textId="77777777" w:rsidR="003B6E5E" w:rsidRPr="00073BB5" w:rsidRDefault="00260CCF" w:rsidP="00803EC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Backup</w:t>
      </w:r>
      <w:r w:rsidR="00D2200F" w:rsidRPr="00073BB5">
        <w:rPr>
          <w:b w:val="0"/>
          <w:sz w:val="24"/>
          <w:szCs w:val="24"/>
        </w:rPr>
        <w:t>.exe</w:t>
      </w:r>
    </w:p>
    <w:p w14:paraId="185A0181" w14:textId="77777777" w:rsidR="00C30E61" w:rsidRDefault="00C30E61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Menu suspenso, </w:t>
      </w:r>
      <w:r w:rsidR="00260CCF">
        <w:rPr>
          <w:b w:val="0"/>
          <w:sz w:val="24"/>
          <w:szCs w:val="24"/>
        </w:rPr>
        <w:t>Apoio</w:t>
      </w:r>
      <w:r w:rsidRPr="00073BB5">
        <w:rPr>
          <w:b w:val="0"/>
          <w:sz w:val="24"/>
          <w:szCs w:val="24"/>
        </w:rPr>
        <w:t xml:space="preserve">&gt; </w:t>
      </w:r>
      <w:r w:rsidR="00260CCF">
        <w:rPr>
          <w:b w:val="0"/>
          <w:sz w:val="24"/>
          <w:szCs w:val="24"/>
        </w:rPr>
        <w:t>Backup Executar</w:t>
      </w:r>
      <w:r w:rsidR="0034361B" w:rsidRPr="00073BB5">
        <w:rPr>
          <w:b w:val="0"/>
          <w:sz w:val="24"/>
          <w:szCs w:val="24"/>
        </w:rPr>
        <w:t>.</w:t>
      </w:r>
    </w:p>
    <w:p w14:paraId="4FF87FDD" w14:textId="1EEDD8A7" w:rsidR="00375D3D" w:rsidRDefault="00353203" w:rsidP="00637BA9">
      <w:pPr>
        <w:pStyle w:val="CENTARI-12"/>
        <w:jc w:val="both"/>
        <w:rPr>
          <w:b w:val="0"/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 w:rsidRPr="00353203">
        <w:rPr>
          <w:b w:val="0"/>
          <w:sz w:val="24"/>
          <w:szCs w:val="24"/>
        </w:rPr>
        <w:t>:</w:t>
      </w:r>
      <w:r w:rsidR="00B971D7">
        <w:rPr>
          <w:b w:val="0"/>
          <w:sz w:val="24"/>
          <w:szCs w:val="24"/>
        </w:rPr>
        <w:t xml:space="preserve"> Conseguir </w:t>
      </w:r>
      <w:r w:rsidR="00637BA9">
        <w:rPr>
          <w:b w:val="0"/>
          <w:sz w:val="24"/>
          <w:szCs w:val="24"/>
        </w:rPr>
        <w:t xml:space="preserve">executar </w:t>
      </w:r>
      <w:r w:rsidR="00D76488">
        <w:rPr>
          <w:b w:val="0"/>
          <w:sz w:val="24"/>
          <w:szCs w:val="24"/>
        </w:rPr>
        <w:t>o Backup do banco de Dados.</w:t>
      </w:r>
    </w:p>
    <w:p w14:paraId="259D372A" w14:textId="1B5A1E73" w:rsidR="00A115E8" w:rsidRDefault="00A115E8" w:rsidP="00637BA9">
      <w:pPr>
        <w:pStyle w:val="CENTARI-12"/>
        <w:jc w:val="both"/>
        <w:rPr>
          <w:b w:val="0"/>
          <w:sz w:val="24"/>
          <w:szCs w:val="24"/>
        </w:rPr>
      </w:pPr>
    </w:p>
    <w:p w14:paraId="0B4E1E80" w14:textId="3F08C0AD" w:rsidR="00375D3D" w:rsidRPr="00A115E8" w:rsidRDefault="00A115E8" w:rsidP="00A115E8">
      <w:pPr>
        <w:pStyle w:val="CENTARI-12"/>
        <w:jc w:val="both"/>
        <w:rPr>
          <w:bCs/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t>OK</w:t>
      </w:r>
    </w:p>
    <w:p w14:paraId="4EF4C67A" w14:textId="77777777" w:rsidR="00AE6466" w:rsidRPr="00073BB5" w:rsidRDefault="00AE6466" w:rsidP="00AC46E9">
      <w:pPr>
        <w:pStyle w:val="CENTARI-12"/>
        <w:ind w:left="720"/>
        <w:jc w:val="both"/>
        <w:rPr>
          <w:sz w:val="24"/>
          <w:szCs w:val="24"/>
        </w:rPr>
      </w:pPr>
    </w:p>
    <w:p w14:paraId="1F6F1615" w14:textId="77777777" w:rsidR="00803ECF" w:rsidRDefault="00803ECF" w:rsidP="00C407B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14:paraId="03AEDC5B" w14:textId="77777777" w:rsidR="00D76488" w:rsidRDefault="00D76488" w:rsidP="00F475A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Abrir a tela de configuração do Backup </w:t>
      </w:r>
      <w:r>
        <w:rPr>
          <w:b w:val="0"/>
          <w:sz w:val="24"/>
          <w:szCs w:val="24"/>
        </w:rPr>
        <w:t>do sistema.</w:t>
      </w:r>
    </w:p>
    <w:p w14:paraId="66482F6D" w14:textId="77777777" w:rsidR="00D76488" w:rsidRPr="00F475AD" w:rsidRDefault="00D76488" w:rsidP="00F475AD">
      <w:pPr>
        <w:pStyle w:val="CENTARI-12"/>
        <w:jc w:val="both"/>
        <w:rPr>
          <w:b w:val="0"/>
          <w:bCs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Menu suspenso, </w:t>
      </w:r>
      <w:r>
        <w:rPr>
          <w:b w:val="0"/>
          <w:sz w:val="24"/>
          <w:szCs w:val="24"/>
        </w:rPr>
        <w:t>Apoio</w:t>
      </w:r>
      <w:r w:rsidRPr="00073BB5">
        <w:rPr>
          <w:b w:val="0"/>
          <w:sz w:val="24"/>
          <w:szCs w:val="24"/>
        </w:rPr>
        <w:t xml:space="preserve">&gt; </w:t>
      </w:r>
      <w:r>
        <w:rPr>
          <w:b w:val="0"/>
          <w:sz w:val="24"/>
          <w:szCs w:val="24"/>
        </w:rPr>
        <w:t>Backup Configurar</w:t>
      </w:r>
      <w:r w:rsidRPr="00073BB5">
        <w:rPr>
          <w:b w:val="0"/>
          <w:sz w:val="24"/>
          <w:szCs w:val="24"/>
        </w:rPr>
        <w:t>.</w:t>
      </w:r>
    </w:p>
    <w:p w14:paraId="7A50546B" w14:textId="77777777" w:rsidR="00C407B9" w:rsidRDefault="00F475AD" w:rsidP="00C407B9">
      <w:pPr>
        <w:pStyle w:val="CENTARI-12"/>
        <w:jc w:val="both"/>
        <w:rPr>
          <w:b w:val="0"/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r w:rsidR="00352B0C">
        <w:rPr>
          <w:b w:val="0"/>
          <w:sz w:val="24"/>
          <w:szCs w:val="24"/>
        </w:rPr>
        <w:t xml:space="preserve">Deverá </w:t>
      </w:r>
      <w:r w:rsidR="00D76488">
        <w:rPr>
          <w:b w:val="0"/>
          <w:sz w:val="24"/>
          <w:szCs w:val="24"/>
        </w:rPr>
        <w:t xml:space="preserve">abrir </w:t>
      </w:r>
      <w:r>
        <w:rPr>
          <w:b w:val="0"/>
          <w:sz w:val="24"/>
          <w:szCs w:val="24"/>
        </w:rPr>
        <w:t xml:space="preserve">o módulo </w:t>
      </w:r>
      <w:r w:rsidR="00D76488">
        <w:rPr>
          <w:b w:val="0"/>
          <w:sz w:val="24"/>
          <w:szCs w:val="24"/>
        </w:rPr>
        <w:t>SAT</w:t>
      </w:r>
      <w:r w:rsidR="00260CCF">
        <w:rPr>
          <w:b w:val="0"/>
          <w:sz w:val="24"/>
          <w:szCs w:val="24"/>
        </w:rPr>
        <w:t>Backup</w:t>
      </w:r>
      <w:r>
        <w:rPr>
          <w:b w:val="0"/>
          <w:sz w:val="24"/>
          <w:szCs w:val="24"/>
        </w:rPr>
        <w:t>.exe.</w:t>
      </w:r>
    </w:p>
    <w:p w14:paraId="0786F846" w14:textId="1074E42A" w:rsidR="00352B0C" w:rsidRDefault="00300D9A" w:rsidP="00C407B9">
      <w:pPr>
        <w:pStyle w:val="CENTARI-12"/>
        <w:jc w:val="both"/>
        <w:rPr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lastRenderedPageBreak/>
        <w:t>OK</w:t>
      </w:r>
    </w:p>
    <w:p w14:paraId="5FEF3858" w14:textId="77777777" w:rsidR="00637BA9" w:rsidRDefault="0065765E" w:rsidP="00637BA9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Aba - Backup</w:t>
      </w:r>
    </w:p>
    <w:p w14:paraId="77517A88" w14:textId="77777777" w:rsidR="00AE6466" w:rsidRDefault="00AE6466" w:rsidP="00C407B9">
      <w:pPr>
        <w:pStyle w:val="CENTARI-12"/>
        <w:jc w:val="both"/>
        <w:rPr>
          <w:sz w:val="24"/>
          <w:szCs w:val="24"/>
        </w:rPr>
      </w:pPr>
    </w:p>
    <w:p w14:paraId="0BD6A932" w14:textId="77777777" w:rsidR="00D76488" w:rsidRDefault="00D76488" w:rsidP="00D76488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Configurar Backup</w:t>
      </w:r>
    </w:p>
    <w:p w14:paraId="4525AB52" w14:textId="77777777" w:rsidR="006B7103" w:rsidRDefault="006B7103" w:rsidP="00FD0F8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Para </w:t>
      </w:r>
      <w:r w:rsidR="00FD0F8B">
        <w:rPr>
          <w:b w:val="0"/>
          <w:bCs/>
          <w:sz w:val="24"/>
          <w:szCs w:val="24"/>
        </w:rPr>
        <w:t>configurar o backup</w:t>
      </w:r>
      <w:r w:rsidR="00A12C2B">
        <w:rPr>
          <w:b w:val="0"/>
          <w:bCs/>
          <w:sz w:val="24"/>
          <w:szCs w:val="24"/>
        </w:rPr>
        <w:t xml:space="preserve"> é necessário marcar o CheckBox “Executar backup no servidor” informar o Endereço do Servidor na Rede</w:t>
      </w:r>
      <w:r w:rsidR="002067C1">
        <w:rPr>
          <w:b w:val="0"/>
          <w:bCs/>
          <w:sz w:val="24"/>
          <w:szCs w:val="24"/>
        </w:rPr>
        <w:t xml:space="preserve"> e a Porta.</w:t>
      </w:r>
      <w:r w:rsidR="00A12C2B">
        <w:rPr>
          <w:b w:val="0"/>
          <w:bCs/>
          <w:sz w:val="24"/>
          <w:szCs w:val="24"/>
        </w:rPr>
        <w:t xml:space="preserve"> </w:t>
      </w:r>
      <w:r w:rsidR="002067C1">
        <w:rPr>
          <w:b w:val="0"/>
          <w:bCs/>
          <w:sz w:val="24"/>
          <w:szCs w:val="24"/>
        </w:rPr>
        <w:t>E</w:t>
      </w:r>
      <w:r w:rsidR="00A12C2B">
        <w:rPr>
          <w:b w:val="0"/>
          <w:bCs/>
          <w:sz w:val="24"/>
          <w:szCs w:val="24"/>
        </w:rPr>
        <w:t>ssa opção será usada apenas se existir um servidor de Backup. Caso não exista deixe o CheckBox desmarcado.</w:t>
      </w:r>
    </w:p>
    <w:p w14:paraId="512A3F8E" w14:textId="77777777" w:rsidR="002C35BE" w:rsidRDefault="00073BB5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 xml:space="preserve">Resultado Esperado: </w:t>
      </w:r>
      <w:r w:rsidR="002067C1">
        <w:rPr>
          <w:b w:val="0"/>
          <w:sz w:val="24"/>
          <w:szCs w:val="24"/>
        </w:rPr>
        <w:t>Definir o endereço onde será armazenado o Backup.</w:t>
      </w:r>
      <w:r w:rsidR="004E3FBB">
        <w:rPr>
          <w:b w:val="0"/>
          <w:sz w:val="24"/>
          <w:szCs w:val="24"/>
        </w:rPr>
        <w:t xml:space="preserve"> </w:t>
      </w:r>
    </w:p>
    <w:p w14:paraId="5CD51176" w14:textId="77777777" w:rsidR="00DD6859" w:rsidRPr="004E3FBB" w:rsidRDefault="00DD6859" w:rsidP="00AC46E9">
      <w:pPr>
        <w:pStyle w:val="CENTARI-12"/>
        <w:jc w:val="both"/>
        <w:rPr>
          <w:b w:val="0"/>
          <w:sz w:val="24"/>
          <w:szCs w:val="24"/>
        </w:rPr>
      </w:pPr>
    </w:p>
    <w:p w14:paraId="750BC4C4" w14:textId="77777777" w:rsidR="00A114F3" w:rsidRDefault="002C35BE" w:rsidP="002C35BE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Teste 6.1:</w:t>
      </w:r>
      <w:r w:rsidR="002067C1">
        <w:rPr>
          <w:bCs/>
          <w:sz w:val="24"/>
          <w:szCs w:val="24"/>
        </w:rPr>
        <w:t xml:space="preserve"> Endereço do arquivo de Banco de Dados</w:t>
      </w:r>
      <w:r>
        <w:rPr>
          <w:bCs/>
          <w:sz w:val="24"/>
          <w:szCs w:val="24"/>
        </w:rPr>
        <w:tab/>
      </w:r>
    </w:p>
    <w:p w14:paraId="5F88786E" w14:textId="77777777" w:rsidR="00B60D40" w:rsidRDefault="002067C1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Deverá ser informado o Caminho onde está armazenado o Banco de Dados. Poderá ser utilizado o botão “Selecionar”, caso queira procurar o local manualmente.</w:t>
      </w:r>
    </w:p>
    <w:p w14:paraId="1180FD17" w14:textId="77777777" w:rsid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Cadastrar </w:t>
      </w:r>
      <w:r w:rsidR="002067C1">
        <w:rPr>
          <w:b w:val="0"/>
          <w:sz w:val="24"/>
          <w:szCs w:val="24"/>
        </w:rPr>
        <w:t>o caminho onde está armazenado o banco de dados</w:t>
      </w:r>
    </w:p>
    <w:p w14:paraId="1C7A08C4" w14:textId="11A8B6AE" w:rsidR="00DD6859" w:rsidRPr="00DD6859" w:rsidRDefault="00300D9A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t>OK</w:t>
      </w:r>
    </w:p>
    <w:p w14:paraId="10AEFD88" w14:textId="77777777" w:rsidR="00B60D40" w:rsidRDefault="00B60D40" w:rsidP="00B60D40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B60D40">
        <w:rPr>
          <w:bCs/>
          <w:sz w:val="24"/>
          <w:szCs w:val="24"/>
        </w:rPr>
        <w:t>Teste 6.2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2067C1">
        <w:rPr>
          <w:bCs/>
          <w:sz w:val="24"/>
          <w:szCs w:val="24"/>
        </w:rPr>
        <w:t>Nome do Arquivo de Backup</w:t>
      </w:r>
    </w:p>
    <w:p w14:paraId="2440F1F8" w14:textId="77777777" w:rsidR="00B60D40" w:rsidRDefault="002067C1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Será solicitado o formato como será renomeado o arquivo de backup, podendo ser </w:t>
      </w:r>
      <w:r w:rsidR="00522354">
        <w:rPr>
          <w:b w:val="0"/>
          <w:sz w:val="24"/>
          <w:szCs w:val="24"/>
        </w:rPr>
        <w:t xml:space="preserve">escolhido </w:t>
      </w:r>
      <w:r w:rsidR="00522354" w:rsidRPr="00522354">
        <w:rPr>
          <w:b w:val="0"/>
          <w:sz w:val="24"/>
          <w:szCs w:val="24"/>
        </w:rPr>
        <w:t>o formato:</w:t>
      </w:r>
      <w:r w:rsidR="00522354" w:rsidRPr="00522354">
        <w:rPr>
          <w:sz w:val="24"/>
          <w:szCs w:val="24"/>
        </w:rPr>
        <w:t xml:space="preserve"> </w:t>
      </w:r>
      <w:r w:rsidR="00522354" w:rsidRPr="00522354">
        <w:rPr>
          <w:b w:val="0"/>
          <w:bCs/>
          <w:sz w:val="24"/>
          <w:szCs w:val="24"/>
        </w:rPr>
        <w:t>"</w:t>
      </w:r>
      <w:r w:rsidR="00522354" w:rsidRPr="00522354">
        <w:rPr>
          <w:b w:val="0"/>
          <w:sz w:val="24"/>
          <w:szCs w:val="24"/>
        </w:rPr>
        <w:t>Data, Hora, Minuto e Segundo do Backup” ou “Dia da Semana e Hora do Backup”</w:t>
      </w:r>
      <w:r w:rsidR="00522354">
        <w:rPr>
          <w:b w:val="0"/>
          <w:sz w:val="24"/>
          <w:szCs w:val="24"/>
        </w:rPr>
        <w:t>.</w:t>
      </w:r>
    </w:p>
    <w:p w14:paraId="6A8F8D55" w14:textId="77777777" w:rsid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22354">
        <w:rPr>
          <w:b w:val="0"/>
          <w:sz w:val="24"/>
          <w:szCs w:val="24"/>
        </w:rPr>
        <w:t>Alterar a nomenclatura do arquivo de Backup.</w:t>
      </w:r>
    </w:p>
    <w:p w14:paraId="202DF8B5" w14:textId="32AF7463" w:rsidR="0065765E" w:rsidRDefault="00315E7D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t>OK</w:t>
      </w:r>
    </w:p>
    <w:p w14:paraId="1EAAF0C7" w14:textId="77777777" w:rsidR="00522354" w:rsidRDefault="00522354" w:rsidP="00522354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522354">
        <w:rPr>
          <w:bCs/>
          <w:sz w:val="24"/>
          <w:szCs w:val="24"/>
        </w:rPr>
        <w:t>Teste 6.3:</w:t>
      </w:r>
      <w:r>
        <w:rPr>
          <w:bCs/>
          <w:sz w:val="24"/>
          <w:szCs w:val="24"/>
        </w:rPr>
        <w:tab/>
        <w:t>Diretório de Destino do Arquivo de Backup</w:t>
      </w:r>
    </w:p>
    <w:p w14:paraId="1EE3BE8A" w14:textId="77777777" w:rsidR="00522354" w:rsidRDefault="00522354" w:rsidP="00522354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Deverá ser informado o local onde será salvo o arquivo de backup. Poderá ser utilizado o botão “Selecionar”, caso queira procurar o local manualmente.</w:t>
      </w:r>
    </w:p>
    <w:p w14:paraId="2211691C" w14:textId="77777777" w:rsidR="00522354" w:rsidRDefault="00522354" w:rsidP="00522354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configurar poderá clicar</w:t>
      </w:r>
      <w:r w:rsidR="00A30A0E">
        <w:rPr>
          <w:b w:val="0"/>
          <w:sz w:val="24"/>
          <w:szCs w:val="24"/>
        </w:rPr>
        <w:t xml:space="preserve"> no botão “Executar o Backup”,</w:t>
      </w:r>
      <w:r w:rsidR="00A30A0E">
        <w:rPr>
          <w:bCs/>
          <w:sz w:val="24"/>
          <w:szCs w:val="24"/>
        </w:rPr>
        <w:t xml:space="preserve"> </w:t>
      </w:r>
      <w:r w:rsidR="00A30A0E">
        <w:rPr>
          <w:b w:val="0"/>
          <w:sz w:val="24"/>
          <w:szCs w:val="24"/>
        </w:rPr>
        <w:t>após concluir o Backup será informado que o Backup do Sistema SAT foi executado com sucesso.</w:t>
      </w:r>
    </w:p>
    <w:p w14:paraId="10FA1AC3" w14:textId="77777777" w:rsidR="00A30A0E" w:rsidRPr="0065765E" w:rsidRDefault="0065765E" w:rsidP="00522354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Executar o backup.</w:t>
      </w:r>
    </w:p>
    <w:p w14:paraId="65E1582B" w14:textId="1498C9AB" w:rsidR="007A5CDE" w:rsidRDefault="00315E7D" w:rsidP="00315E7D">
      <w:pPr>
        <w:pStyle w:val="CENTARI-12"/>
        <w:ind w:left="360" w:firstLine="720"/>
        <w:jc w:val="left"/>
        <w:rPr>
          <w:b w:val="0"/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t>OK</w:t>
      </w:r>
    </w:p>
    <w:p w14:paraId="110065B5" w14:textId="77777777" w:rsidR="007A5CDE" w:rsidRPr="007A5CDE" w:rsidRDefault="007A5CDE" w:rsidP="007A5CDE">
      <w:pPr>
        <w:pStyle w:val="CENTARI-12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7A5CDE">
        <w:rPr>
          <w:bCs/>
          <w:sz w:val="24"/>
          <w:szCs w:val="24"/>
        </w:rPr>
        <w:t>Esc - Fechar</w:t>
      </w:r>
    </w:p>
    <w:p w14:paraId="574A7C70" w14:textId="77777777" w:rsidR="007A5CDE" w:rsidRDefault="007A5CDE" w:rsidP="007A5CD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sair ou pressionar a tecla ESC</w:t>
      </w:r>
    </w:p>
    <w:p w14:paraId="5F94AA8E" w14:textId="77777777" w:rsidR="007A5CDE" w:rsidRDefault="007A5CDE" w:rsidP="007A5CDE">
      <w:pPr>
        <w:pStyle w:val="CENTARI-12"/>
        <w:jc w:val="both"/>
        <w:rPr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 w:rsidRPr="00353203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Conseguir fechar o modulo.</w:t>
      </w:r>
    </w:p>
    <w:p w14:paraId="655FE991" w14:textId="07694338" w:rsidR="002C35BE" w:rsidRDefault="00315E7D" w:rsidP="00315E7D">
      <w:pPr>
        <w:pStyle w:val="CENTARI-12"/>
        <w:jc w:val="left"/>
        <w:rPr>
          <w:b w:val="0"/>
          <w:sz w:val="24"/>
          <w:szCs w:val="24"/>
        </w:rPr>
      </w:pPr>
      <w:r w:rsidRPr="00A115E8">
        <w:rPr>
          <w:bCs/>
          <w:color w:val="00B050"/>
          <w:sz w:val="24"/>
          <w:szCs w:val="24"/>
        </w:rPr>
        <w:t>OK</w:t>
      </w:r>
      <w:r w:rsidR="002C35BE">
        <w:rPr>
          <w:b w:val="0"/>
          <w:sz w:val="24"/>
          <w:szCs w:val="24"/>
        </w:rPr>
        <w:tab/>
      </w:r>
    </w:p>
    <w:p w14:paraId="2B9053AB" w14:textId="77777777" w:rsidR="0065765E" w:rsidRDefault="0065765E" w:rsidP="0065765E">
      <w:pPr>
        <w:pStyle w:val="CENTARI-12"/>
        <w:rPr>
          <w:b w:val="0"/>
          <w:sz w:val="24"/>
          <w:szCs w:val="24"/>
        </w:rPr>
      </w:pPr>
    </w:p>
    <w:p w14:paraId="5AE6817D" w14:textId="77777777" w:rsidR="0065765E" w:rsidRPr="0065765E" w:rsidRDefault="0065765E" w:rsidP="0065765E">
      <w:pPr>
        <w:pStyle w:val="CENTARI-12"/>
        <w:rPr>
          <w:color w:val="00B0F0"/>
          <w:sz w:val="32"/>
          <w:szCs w:val="32"/>
        </w:rPr>
      </w:pPr>
      <w:r w:rsidRPr="0065765E">
        <w:rPr>
          <w:color w:val="00B0F0"/>
          <w:sz w:val="32"/>
          <w:szCs w:val="32"/>
        </w:rPr>
        <w:t>Aba – Criar Atalhos</w:t>
      </w:r>
    </w:p>
    <w:p w14:paraId="5802855B" w14:textId="77777777" w:rsidR="0065765E" w:rsidRPr="00073BB5" w:rsidRDefault="0065765E" w:rsidP="0065765E">
      <w:pPr>
        <w:pStyle w:val="CENTARI-12"/>
        <w:rPr>
          <w:b w:val="0"/>
          <w:sz w:val="24"/>
          <w:szCs w:val="24"/>
        </w:rPr>
      </w:pPr>
    </w:p>
    <w:p w14:paraId="73C2D1F1" w14:textId="77777777" w:rsidR="00803ECF" w:rsidRPr="00073BB5" w:rsidRDefault="00A523EA" w:rsidP="00803EC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Atalhos</w:t>
      </w:r>
    </w:p>
    <w:p w14:paraId="13FCFB3F" w14:textId="77777777" w:rsidR="00A52DB2" w:rsidRDefault="00594A7B" w:rsidP="000D6E58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Ao </w:t>
      </w:r>
      <w:r w:rsidR="000D6E58">
        <w:rPr>
          <w:b w:val="0"/>
          <w:sz w:val="24"/>
          <w:szCs w:val="24"/>
        </w:rPr>
        <w:t>clicar no botão “Criar atalho de Execução do Backup no Inicializar” será criado um atalho no menu Inicializar do Windows, para que se possa acessar a rotina de backup do SAT.</w:t>
      </w:r>
    </w:p>
    <w:p w14:paraId="6B3F5A8E" w14:textId="77777777" w:rsidR="000D6E58" w:rsidRDefault="000D6E58" w:rsidP="000D6E58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Ao </w:t>
      </w:r>
      <w:r>
        <w:rPr>
          <w:b w:val="0"/>
          <w:sz w:val="24"/>
          <w:szCs w:val="24"/>
        </w:rPr>
        <w:t>clicar no botão “Criar atalho de Configuração do Backup na Área de Trabalho” será criado um atalho na área de trabalho</w:t>
      </w:r>
      <w:r w:rsidR="00BD18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do Windows, para que se possa acessar a rotina de backup do SAT.</w:t>
      </w:r>
    </w:p>
    <w:p w14:paraId="7881DC0A" w14:textId="77777777" w:rsidR="000D6E58" w:rsidRDefault="000D6E58" w:rsidP="000D6E58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Ao </w:t>
      </w:r>
      <w:r>
        <w:rPr>
          <w:b w:val="0"/>
          <w:sz w:val="24"/>
          <w:szCs w:val="24"/>
        </w:rPr>
        <w:t>clicar no botão “Criar atalho de Configuração do Backup na pasta SAT Sistemas” será criado um atalho dentro da pasta do sistema, para que se possa acessar a rotina de backup do SAT.</w:t>
      </w:r>
    </w:p>
    <w:p w14:paraId="28E35F8C" w14:textId="4C020FE2" w:rsidR="000D6E58" w:rsidRDefault="000D6E58" w:rsidP="000D6E5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1843">
        <w:rPr>
          <w:b w:val="0"/>
          <w:sz w:val="24"/>
          <w:szCs w:val="24"/>
        </w:rPr>
        <w:t>Criar os atalhos de Backup do SAT.</w:t>
      </w:r>
    </w:p>
    <w:p w14:paraId="3C64CA19" w14:textId="7C59D2DB" w:rsidR="005A7420" w:rsidRPr="00265338" w:rsidRDefault="00265338" w:rsidP="00AC46E9">
      <w:pPr>
        <w:pStyle w:val="CENTARI-12"/>
        <w:jc w:val="both"/>
        <w:rPr>
          <w:bCs/>
          <w:sz w:val="24"/>
          <w:szCs w:val="24"/>
        </w:rPr>
      </w:pPr>
      <w:bookmarkStart w:id="0" w:name="OLE_LINK8"/>
      <w:bookmarkStart w:id="1" w:name="OLE_LINK9"/>
      <w:bookmarkStart w:id="2" w:name="OLE_LINK10"/>
      <w:r w:rsidRPr="00265338">
        <w:rPr>
          <w:bCs/>
          <w:color w:val="00B050"/>
          <w:sz w:val="24"/>
          <w:szCs w:val="24"/>
        </w:rPr>
        <w:t>OK</w:t>
      </w:r>
    </w:p>
    <w:p w14:paraId="01A9ECD7" w14:textId="77777777" w:rsidR="004973DF" w:rsidRDefault="004973DF" w:rsidP="00AC46E9">
      <w:pPr>
        <w:pStyle w:val="CENTARI-12"/>
        <w:jc w:val="both"/>
        <w:rPr>
          <w:b w:val="0"/>
          <w:sz w:val="24"/>
          <w:szCs w:val="24"/>
        </w:rPr>
      </w:pPr>
    </w:p>
    <w:p w14:paraId="6EEF99B8" w14:textId="77777777" w:rsidR="00D34461" w:rsidRDefault="00D34461" w:rsidP="00AC46E9">
      <w:pPr>
        <w:pStyle w:val="CENTARI-12"/>
        <w:jc w:val="both"/>
        <w:rPr>
          <w:b w:val="0"/>
          <w:sz w:val="24"/>
          <w:szCs w:val="24"/>
        </w:rPr>
      </w:pPr>
    </w:p>
    <w:p w14:paraId="78E908B9" w14:textId="77777777" w:rsidR="00D34461" w:rsidRDefault="00D34461" w:rsidP="00AC46E9">
      <w:pPr>
        <w:pStyle w:val="CENTARI-12"/>
        <w:jc w:val="both"/>
        <w:rPr>
          <w:b w:val="0"/>
          <w:sz w:val="24"/>
          <w:szCs w:val="24"/>
        </w:rPr>
      </w:pPr>
    </w:p>
    <w:p w14:paraId="1F00A7B5" w14:textId="77777777" w:rsidR="00D34461" w:rsidRPr="00073BB5" w:rsidRDefault="00D34461" w:rsidP="00AC46E9">
      <w:pPr>
        <w:pStyle w:val="CENTARI-12"/>
        <w:jc w:val="both"/>
        <w:rPr>
          <w:b w:val="0"/>
          <w:sz w:val="24"/>
          <w:szCs w:val="24"/>
        </w:rPr>
      </w:pPr>
    </w:p>
    <w:p w14:paraId="772E8006" w14:textId="77777777" w:rsidR="00D34461" w:rsidRDefault="00D34461" w:rsidP="00D34461">
      <w:pPr>
        <w:pStyle w:val="CENTARI-12"/>
        <w:rPr>
          <w:color w:val="00B0F0"/>
          <w:sz w:val="32"/>
          <w:szCs w:val="32"/>
        </w:rPr>
      </w:pPr>
    </w:p>
    <w:p w14:paraId="4DF26C00" w14:textId="77777777" w:rsidR="00D34461" w:rsidRDefault="00D34461" w:rsidP="00D34461">
      <w:pPr>
        <w:pStyle w:val="CENTARI-12"/>
        <w:rPr>
          <w:color w:val="00B0F0"/>
          <w:sz w:val="32"/>
          <w:szCs w:val="32"/>
        </w:rPr>
      </w:pPr>
    </w:p>
    <w:p w14:paraId="0A941E82" w14:textId="2155E1FE" w:rsidR="00691675" w:rsidRDefault="00D34461" w:rsidP="00265338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Configuração Local</w:t>
      </w:r>
    </w:p>
    <w:p w14:paraId="76CB96C6" w14:textId="77777777" w:rsidR="00265338" w:rsidRPr="00265338" w:rsidRDefault="00265338" w:rsidP="00265338">
      <w:pPr>
        <w:pStyle w:val="CENTARI-12"/>
        <w:rPr>
          <w:color w:val="00B0F0"/>
          <w:sz w:val="32"/>
          <w:szCs w:val="32"/>
        </w:rPr>
      </w:pPr>
    </w:p>
    <w:p w14:paraId="6F630BC9" w14:textId="61251314" w:rsidR="00691675" w:rsidRDefault="00265338" w:rsidP="00AC46E9">
      <w:pPr>
        <w:pStyle w:val="CENTARI-1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D738419" wp14:editId="7CCBFFE5">
            <wp:extent cx="4561840" cy="2438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2180"/>
                    <a:stretch/>
                  </pic:blipFill>
                  <pic:spPr bwMode="auto">
                    <a:xfrm>
                      <a:off x="0" y="0"/>
                      <a:ext cx="4578358" cy="2447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5C7FE74" w14:textId="77777777" w:rsidR="00691675" w:rsidRDefault="00691675" w:rsidP="00AC46E9">
      <w:pPr>
        <w:pStyle w:val="CENTARI-12"/>
        <w:jc w:val="both"/>
        <w:rPr>
          <w:sz w:val="24"/>
          <w:szCs w:val="24"/>
        </w:rPr>
      </w:pPr>
    </w:p>
    <w:p w14:paraId="2479794A" w14:textId="77777777" w:rsidR="00691675" w:rsidRDefault="00691675" w:rsidP="00AC46E9">
      <w:pPr>
        <w:pStyle w:val="CENTARI-12"/>
        <w:jc w:val="both"/>
        <w:rPr>
          <w:sz w:val="24"/>
          <w:szCs w:val="24"/>
        </w:rPr>
      </w:pPr>
    </w:p>
    <w:p w14:paraId="632EDADB" w14:textId="226C3F4B" w:rsidR="00691675" w:rsidRDefault="00415ADD" w:rsidP="00415ADD">
      <w:pPr>
        <w:pStyle w:val="CENTARI-12"/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marcar a opção “Servidor do Banco de Dados”, não </w:t>
      </w:r>
      <w:r w:rsidR="00C040CE">
        <w:rPr>
          <w:b w:val="0"/>
          <w:bCs/>
          <w:sz w:val="24"/>
          <w:szCs w:val="24"/>
        </w:rPr>
        <w:t xml:space="preserve">será </w:t>
      </w:r>
      <w:r>
        <w:rPr>
          <w:b w:val="0"/>
          <w:bCs/>
          <w:sz w:val="24"/>
          <w:szCs w:val="24"/>
        </w:rPr>
        <w:t>possível informar um Endereço de IP.</w:t>
      </w:r>
      <w:r w:rsidR="00C040CE">
        <w:rPr>
          <w:b w:val="0"/>
          <w:bCs/>
          <w:sz w:val="24"/>
          <w:szCs w:val="24"/>
        </w:rPr>
        <w:t xml:space="preserve"> O campo Endereço de IP ficará desabilitado.</w:t>
      </w:r>
    </w:p>
    <w:p w14:paraId="2DC4F105" w14:textId="1C8C8743" w:rsidR="00265338" w:rsidRDefault="00265338" w:rsidP="0026533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 w:rsidRPr="00265338">
        <w:rPr>
          <w:bCs/>
          <w:color w:val="00B050"/>
          <w:sz w:val="24"/>
          <w:szCs w:val="24"/>
        </w:rPr>
        <w:t>OK</w:t>
      </w:r>
    </w:p>
    <w:p w14:paraId="178EEEA2" w14:textId="2C69602D" w:rsidR="00415ADD" w:rsidRDefault="00415ADD" w:rsidP="00415ADD">
      <w:pPr>
        <w:pStyle w:val="CENTARI-12"/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</w:t>
      </w:r>
      <w:r w:rsidR="001A4346">
        <w:rPr>
          <w:b w:val="0"/>
          <w:bCs/>
          <w:sz w:val="24"/>
          <w:szCs w:val="24"/>
        </w:rPr>
        <w:t>.</w:t>
      </w:r>
    </w:p>
    <w:p w14:paraId="24CBD632" w14:textId="4579CAC4" w:rsidR="00265338" w:rsidRDefault="00265338" w:rsidP="00265338">
      <w:pPr>
        <w:pStyle w:val="PargrafodaLista"/>
        <w:rPr>
          <w:b/>
          <w:bCs/>
          <w:sz w:val="24"/>
          <w:szCs w:val="24"/>
        </w:rPr>
      </w:pPr>
      <w:r w:rsidRPr="00265338">
        <w:rPr>
          <w:bCs/>
          <w:color w:val="00B050"/>
          <w:sz w:val="24"/>
          <w:szCs w:val="24"/>
        </w:rPr>
        <w:t>OK</w:t>
      </w:r>
    </w:p>
    <w:p w14:paraId="619B7B08" w14:textId="77777777" w:rsidR="00265338" w:rsidRDefault="00265338" w:rsidP="00265338">
      <w:pPr>
        <w:pStyle w:val="CENTARI-12"/>
        <w:ind w:left="720"/>
        <w:jc w:val="both"/>
        <w:rPr>
          <w:b w:val="0"/>
          <w:bCs/>
          <w:sz w:val="24"/>
          <w:szCs w:val="24"/>
        </w:rPr>
      </w:pPr>
    </w:p>
    <w:p w14:paraId="616585FB" w14:textId="77777777" w:rsidR="0044018D" w:rsidRPr="00415ADD" w:rsidRDefault="0044018D" w:rsidP="00415ADD">
      <w:pPr>
        <w:pStyle w:val="CENTARI-12"/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Se a opção “Servidor do Banco de Dados” estiver marcada o sistema ira considerar as portas padrões de conexão 3050 e </w:t>
      </w:r>
      <w:r w:rsidR="007A5CDE">
        <w:rPr>
          <w:b w:val="0"/>
          <w:bCs/>
          <w:sz w:val="24"/>
          <w:szCs w:val="24"/>
        </w:rPr>
        <w:t>0. Apenas</w:t>
      </w:r>
      <w:r>
        <w:rPr>
          <w:b w:val="0"/>
          <w:bCs/>
          <w:sz w:val="24"/>
          <w:szCs w:val="24"/>
        </w:rPr>
        <w:t xml:space="preserve"> será possível utilizar outra porta se a opção estiver </w:t>
      </w:r>
      <w:r w:rsidR="00D21ABE">
        <w:rPr>
          <w:b w:val="0"/>
          <w:bCs/>
          <w:sz w:val="24"/>
          <w:szCs w:val="24"/>
        </w:rPr>
        <w:t>marcada, assim o sistema considera a porta que foi informada.</w:t>
      </w:r>
    </w:p>
    <w:p w14:paraId="0ED1D2D1" w14:textId="77777777" w:rsidR="00691675" w:rsidRDefault="00691675" w:rsidP="00AC46E9">
      <w:pPr>
        <w:pStyle w:val="CENTARI-12"/>
        <w:jc w:val="both"/>
        <w:rPr>
          <w:sz w:val="24"/>
          <w:szCs w:val="24"/>
        </w:rPr>
      </w:pPr>
    </w:p>
    <w:p w14:paraId="22914D3B" w14:textId="586568FE" w:rsidR="00691675" w:rsidRPr="00073BB5" w:rsidRDefault="00265338" w:rsidP="00AC46E9">
      <w:pPr>
        <w:pStyle w:val="CENTARI-12"/>
        <w:jc w:val="both"/>
        <w:rPr>
          <w:b w:val="0"/>
          <w:sz w:val="24"/>
          <w:szCs w:val="24"/>
        </w:rPr>
      </w:pPr>
      <w:r w:rsidRPr="00265338">
        <w:rPr>
          <w:bCs/>
          <w:color w:val="00B050"/>
          <w:sz w:val="24"/>
          <w:szCs w:val="24"/>
        </w:rPr>
        <w:t>OK</w:t>
      </w:r>
    </w:p>
    <w:p w14:paraId="3B4C97D7" w14:textId="77777777" w:rsidR="00900788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14:paraId="0469F0EB" w14:textId="77777777" w:rsidR="00900788" w:rsidRPr="008B1DEE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14:paraId="6F4C2ABB" w14:textId="77777777" w:rsidR="002868E2" w:rsidRPr="008B1DEE" w:rsidRDefault="002868E2" w:rsidP="00AC46E9">
      <w:pPr>
        <w:pStyle w:val="CENTARI-12"/>
        <w:jc w:val="both"/>
        <w:rPr>
          <w:b w:val="0"/>
          <w:sz w:val="26"/>
          <w:szCs w:val="26"/>
        </w:rPr>
      </w:pPr>
    </w:p>
    <w:p w14:paraId="58102D16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7F9E8738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7FB67490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15A2B705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1E53F44A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15CF7A93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539E1C03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73A58B49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30DD5473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35FD8D08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5B1829CC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p w14:paraId="4908524C" w14:textId="77777777" w:rsidR="00C040CE" w:rsidRDefault="00C040CE" w:rsidP="006379A5">
      <w:pPr>
        <w:pStyle w:val="CENTARI-12"/>
        <w:jc w:val="both"/>
        <w:rPr>
          <w:sz w:val="26"/>
          <w:szCs w:val="26"/>
        </w:rPr>
      </w:pPr>
    </w:p>
    <w:bookmarkEnd w:id="0"/>
    <w:bookmarkEnd w:id="1"/>
    <w:bookmarkEnd w:id="2"/>
    <w:p w14:paraId="5F4A099F" w14:textId="77777777" w:rsidR="00D220C0" w:rsidRDefault="00D220C0" w:rsidP="00D220C0">
      <w:pPr>
        <w:tabs>
          <w:tab w:val="left" w:pos="3285"/>
        </w:tabs>
      </w:pPr>
    </w:p>
    <w:p w14:paraId="365FF4B3" w14:textId="77777777" w:rsidR="00D220C0" w:rsidRDefault="00D220C0" w:rsidP="00D220C0">
      <w:pPr>
        <w:tabs>
          <w:tab w:val="left" w:pos="3285"/>
        </w:tabs>
      </w:pPr>
    </w:p>
    <w:p w14:paraId="1A3B4C00" w14:textId="77777777" w:rsidR="00D220C0" w:rsidRDefault="00D220C0" w:rsidP="00803ECF">
      <w:pPr>
        <w:pStyle w:val="0-0TNR-12"/>
        <w:spacing w:line="276" w:lineRule="auto"/>
        <w:jc w:val="center"/>
        <w:rPr>
          <w:rFonts w:ascii="Times New Roman" w:hAnsi="Times New Roman"/>
          <w:szCs w:val="24"/>
        </w:rPr>
      </w:pPr>
    </w:p>
    <w:p w14:paraId="6FDF4EB9" w14:textId="77777777" w:rsidR="00803ECF" w:rsidRPr="00856FBC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14:paraId="64DC0E49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14:paraId="691CE2C1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14:paraId="1433F6F5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895DD9C" w14:textId="77777777" w:rsidR="00D220C0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6DC10D1" w14:textId="77777777" w:rsidR="00D220C0" w:rsidRPr="00856FBC" w:rsidRDefault="00D220C0" w:rsidP="0026533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437DC4C4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AF27ECD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14:paraId="53F75204" w14:textId="77777777"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14:paraId="52125199" w14:textId="25D588B4" w:rsidR="00D220C0" w:rsidRPr="00856FBC" w:rsidRDefault="00265338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p w14:paraId="23D134DF" w14:textId="77777777" w:rsidR="00D220C0" w:rsidRPr="00D220C0" w:rsidRDefault="00D220C0" w:rsidP="00D220C0">
      <w:pPr>
        <w:tabs>
          <w:tab w:val="left" w:pos="3285"/>
        </w:tabs>
      </w:pPr>
    </w:p>
    <w:sectPr w:rsidR="00D220C0" w:rsidRPr="00D220C0" w:rsidSect="00863CA0">
      <w:headerReference w:type="default" r:id="rId9"/>
      <w:footerReference w:type="default" r:id="rId10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DBCE" w14:textId="77777777" w:rsidR="00F067FD" w:rsidRDefault="00F067FD">
      <w:r>
        <w:separator/>
      </w:r>
    </w:p>
  </w:endnote>
  <w:endnote w:type="continuationSeparator" w:id="0">
    <w:p w14:paraId="572FD843" w14:textId="77777777" w:rsidR="00F067FD" w:rsidRDefault="00F0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578E" w14:textId="77777777" w:rsidR="00B35AAF" w:rsidRDefault="0001311E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C10217" wp14:editId="0579FC3C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5FEB9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260CCF">
      <w:rPr>
        <w:rStyle w:val="Nmerodepgina"/>
        <w:rFonts w:ascii="Arial" w:hAnsi="Arial" w:cs="Arial"/>
        <w:b/>
        <w:noProof/>
        <w:color w:val="auto"/>
        <w:sz w:val="18"/>
        <w:szCs w:val="18"/>
      </w:rPr>
      <w:t>Backup</w:t>
    </w:r>
    <w:r w:rsidR="00CB3579">
      <w:rPr>
        <w:rStyle w:val="Nmerodepgina"/>
        <w:rFonts w:ascii="Arial" w:hAnsi="Arial" w:cs="Arial"/>
        <w:b/>
        <w:noProof/>
        <w:color w:val="auto"/>
        <w:sz w:val="18"/>
        <w:szCs w:val="18"/>
      </w:rPr>
      <w:t xml:space="preserve"> </w:t>
    </w:r>
    <w:r w:rsidR="00CB3579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5C67B6">
      <w:rPr>
        <w:rStyle w:val="Nmerodepgina"/>
        <w:rFonts w:ascii="Arial" w:hAnsi="Arial" w:cs="Arial"/>
        <w:b/>
        <w:color w:val="auto"/>
        <w:sz w:val="18"/>
        <w:szCs w:val="18"/>
      </w:rPr>
      <w:t xml:space="preserve"> Compilação</w:t>
    </w:r>
    <w:r w:rsidR="00260CCF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7D6E91">
      <w:rPr>
        <w:rStyle w:val="Nmerodepgina"/>
        <w:rFonts w:ascii="Arial" w:hAnsi="Arial" w:cs="Arial"/>
        <w:b/>
        <w:color w:val="auto"/>
        <w:sz w:val="18"/>
        <w:szCs w:val="18"/>
      </w:rPr>
      <w:t>200106A</w:t>
    </w:r>
  </w:p>
  <w:p w14:paraId="12D8CAD0" w14:textId="77777777" w:rsidR="007D6E91" w:rsidRDefault="007D6E91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  <w:p w14:paraId="21E95A84" w14:textId="77777777" w:rsidR="005C67B6" w:rsidRPr="007A0EF4" w:rsidRDefault="005C67B6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82ED" w14:textId="77777777" w:rsidR="00F067FD" w:rsidRDefault="00F067FD">
      <w:r>
        <w:separator/>
      </w:r>
    </w:p>
  </w:footnote>
  <w:footnote w:type="continuationSeparator" w:id="0">
    <w:p w14:paraId="68565E6D" w14:textId="77777777" w:rsidR="00F067FD" w:rsidRDefault="00F0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5C67B6" w14:paraId="3AAC5B25" w14:textId="77777777" w:rsidTr="00713F67">
      <w:tc>
        <w:tcPr>
          <w:tcW w:w="1298" w:type="dxa"/>
          <w:shd w:val="clear" w:color="auto" w:fill="auto"/>
        </w:tcPr>
        <w:p w14:paraId="489E12DD" w14:textId="77777777" w:rsidR="005C67B6" w:rsidRDefault="0001311E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2F23D5BD" wp14:editId="0CCB7753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734685DE" w14:textId="77777777" w:rsidR="005C67B6" w:rsidRPr="00713F67" w:rsidRDefault="005C67B6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738A90D4" w14:textId="77777777" w:rsidR="005C67B6" w:rsidRPr="00422DC1" w:rsidRDefault="005C67B6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25E30689" w14:textId="77777777" w:rsidR="005C67B6" w:rsidRDefault="005C67B6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14:paraId="117E7071" w14:textId="77777777" w:rsidR="005C67B6" w:rsidRPr="00713F67" w:rsidRDefault="005C67B6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013167D9" w14:textId="77777777" w:rsidR="005C67B6" w:rsidRDefault="0001311E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AD5F73" wp14:editId="3A33B6BD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DAF90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F64327" wp14:editId="3E7B2ED9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EC81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63DBE"/>
    <w:multiLevelType w:val="multilevel"/>
    <w:tmpl w:val="5D34312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54850AF"/>
    <w:multiLevelType w:val="hybridMultilevel"/>
    <w:tmpl w:val="C71E7E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2D38FB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F745F9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C007941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47452C"/>
    <w:multiLevelType w:val="hybridMultilevel"/>
    <w:tmpl w:val="C78034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15147248">
    <w:abstractNumId w:val="11"/>
  </w:num>
  <w:num w:numId="2" w16cid:durableId="2146117636">
    <w:abstractNumId w:val="9"/>
  </w:num>
  <w:num w:numId="3" w16cid:durableId="372729506">
    <w:abstractNumId w:val="3"/>
  </w:num>
  <w:num w:numId="4" w16cid:durableId="1065033816">
    <w:abstractNumId w:val="17"/>
  </w:num>
  <w:num w:numId="5" w16cid:durableId="1740901396">
    <w:abstractNumId w:val="10"/>
  </w:num>
  <w:num w:numId="6" w16cid:durableId="206260480">
    <w:abstractNumId w:val="6"/>
  </w:num>
  <w:num w:numId="7" w16cid:durableId="58139580">
    <w:abstractNumId w:val="29"/>
  </w:num>
  <w:num w:numId="8" w16cid:durableId="655064524">
    <w:abstractNumId w:val="7"/>
  </w:num>
  <w:num w:numId="9" w16cid:durableId="1574926839">
    <w:abstractNumId w:val="25"/>
  </w:num>
  <w:num w:numId="10" w16cid:durableId="586966522">
    <w:abstractNumId w:val="13"/>
  </w:num>
  <w:num w:numId="11" w16cid:durableId="580677909">
    <w:abstractNumId w:val="24"/>
  </w:num>
  <w:num w:numId="12" w16cid:durableId="1524435391">
    <w:abstractNumId w:val="0"/>
  </w:num>
  <w:num w:numId="13" w16cid:durableId="1150174099">
    <w:abstractNumId w:val="23"/>
  </w:num>
  <w:num w:numId="14" w16cid:durableId="1368916071">
    <w:abstractNumId w:val="1"/>
  </w:num>
  <w:num w:numId="15" w16cid:durableId="1288122327">
    <w:abstractNumId w:val="16"/>
  </w:num>
  <w:num w:numId="16" w16cid:durableId="1433820298">
    <w:abstractNumId w:val="27"/>
  </w:num>
  <w:num w:numId="17" w16cid:durableId="1128359521">
    <w:abstractNumId w:val="5"/>
  </w:num>
  <w:num w:numId="18" w16cid:durableId="405148760">
    <w:abstractNumId w:val="20"/>
  </w:num>
  <w:num w:numId="19" w16cid:durableId="1326280918">
    <w:abstractNumId w:val="19"/>
  </w:num>
  <w:num w:numId="20" w16cid:durableId="1050611751">
    <w:abstractNumId w:val="22"/>
  </w:num>
  <w:num w:numId="21" w16cid:durableId="796337184">
    <w:abstractNumId w:val="21"/>
  </w:num>
  <w:num w:numId="22" w16cid:durableId="941957666">
    <w:abstractNumId w:val="4"/>
  </w:num>
  <w:num w:numId="23" w16cid:durableId="100301931">
    <w:abstractNumId w:val="12"/>
  </w:num>
  <w:num w:numId="24" w16cid:durableId="1322202017">
    <w:abstractNumId w:val="15"/>
  </w:num>
  <w:num w:numId="25" w16cid:durableId="1377393830">
    <w:abstractNumId w:val="2"/>
  </w:num>
  <w:num w:numId="26" w16cid:durableId="1676028061">
    <w:abstractNumId w:val="26"/>
  </w:num>
  <w:num w:numId="27" w16cid:durableId="2069916878">
    <w:abstractNumId w:val="18"/>
  </w:num>
  <w:num w:numId="28" w16cid:durableId="1305890191">
    <w:abstractNumId w:val="28"/>
  </w:num>
  <w:num w:numId="29" w16cid:durableId="1042095697">
    <w:abstractNumId w:val="14"/>
  </w:num>
  <w:num w:numId="30" w16cid:durableId="1817800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1311E"/>
    <w:rsid w:val="0005473F"/>
    <w:rsid w:val="00056B93"/>
    <w:rsid w:val="0006010C"/>
    <w:rsid w:val="00065B5E"/>
    <w:rsid w:val="000732D4"/>
    <w:rsid w:val="00073BB5"/>
    <w:rsid w:val="00081E03"/>
    <w:rsid w:val="00083B48"/>
    <w:rsid w:val="00087630"/>
    <w:rsid w:val="000A0FCD"/>
    <w:rsid w:val="000B1E95"/>
    <w:rsid w:val="000B4903"/>
    <w:rsid w:val="000C24B6"/>
    <w:rsid w:val="000C51C5"/>
    <w:rsid w:val="000D2007"/>
    <w:rsid w:val="000D6E58"/>
    <w:rsid w:val="000F25DC"/>
    <w:rsid w:val="000F72B6"/>
    <w:rsid w:val="00106959"/>
    <w:rsid w:val="00113F3A"/>
    <w:rsid w:val="00116DB8"/>
    <w:rsid w:val="00120A19"/>
    <w:rsid w:val="00137B23"/>
    <w:rsid w:val="00151184"/>
    <w:rsid w:val="001518AD"/>
    <w:rsid w:val="00153958"/>
    <w:rsid w:val="001631E8"/>
    <w:rsid w:val="00167C84"/>
    <w:rsid w:val="00181174"/>
    <w:rsid w:val="00181C93"/>
    <w:rsid w:val="0018538B"/>
    <w:rsid w:val="00195B6B"/>
    <w:rsid w:val="001A4346"/>
    <w:rsid w:val="001B0A02"/>
    <w:rsid w:val="001C1816"/>
    <w:rsid w:val="001C3050"/>
    <w:rsid w:val="001C4F46"/>
    <w:rsid w:val="001E7D17"/>
    <w:rsid w:val="001F2D0F"/>
    <w:rsid w:val="001F5852"/>
    <w:rsid w:val="002039E1"/>
    <w:rsid w:val="002046B6"/>
    <w:rsid w:val="002067C1"/>
    <w:rsid w:val="0022379C"/>
    <w:rsid w:val="00223C5B"/>
    <w:rsid w:val="002307D2"/>
    <w:rsid w:val="00233BCA"/>
    <w:rsid w:val="0024756B"/>
    <w:rsid w:val="00247EFC"/>
    <w:rsid w:val="00260CCF"/>
    <w:rsid w:val="00262A5F"/>
    <w:rsid w:val="00265338"/>
    <w:rsid w:val="00265684"/>
    <w:rsid w:val="0026728E"/>
    <w:rsid w:val="0027131F"/>
    <w:rsid w:val="0027177E"/>
    <w:rsid w:val="00274A14"/>
    <w:rsid w:val="0027606A"/>
    <w:rsid w:val="00276A55"/>
    <w:rsid w:val="00283BDC"/>
    <w:rsid w:val="002868E2"/>
    <w:rsid w:val="00296C08"/>
    <w:rsid w:val="002B0473"/>
    <w:rsid w:val="002C072A"/>
    <w:rsid w:val="002C1156"/>
    <w:rsid w:val="002C1489"/>
    <w:rsid w:val="002C35BE"/>
    <w:rsid w:val="002D3331"/>
    <w:rsid w:val="002D4620"/>
    <w:rsid w:val="002F3A78"/>
    <w:rsid w:val="00300D9A"/>
    <w:rsid w:val="003016D1"/>
    <w:rsid w:val="00303A85"/>
    <w:rsid w:val="003052C8"/>
    <w:rsid w:val="00315E7D"/>
    <w:rsid w:val="00320AC0"/>
    <w:rsid w:val="003259A9"/>
    <w:rsid w:val="0032603E"/>
    <w:rsid w:val="003308D0"/>
    <w:rsid w:val="003308FC"/>
    <w:rsid w:val="003413B7"/>
    <w:rsid w:val="003415F3"/>
    <w:rsid w:val="0034215D"/>
    <w:rsid w:val="0034361B"/>
    <w:rsid w:val="00345777"/>
    <w:rsid w:val="003460D9"/>
    <w:rsid w:val="00352B0C"/>
    <w:rsid w:val="00353203"/>
    <w:rsid w:val="00355D5C"/>
    <w:rsid w:val="0036375E"/>
    <w:rsid w:val="00375D3D"/>
    <w:rsid w:val="003833CA"/>
    <w:rsid w:val="00390841"/>
    <w:rsid w:val="003938F7"/>
    <w:rsid w:val="0039787B"/>
    <w:rsid w:val="003A43C5"/>
    <w:rsid w:val="003B50EA"/>
    <w:rsid w:val="003B6E5E"/>
    <w:rsid w:val="003C1164"/>
    <w:rsid w:val="003C356A"/>
    <w:rsid w:val="003D728E"/>
    <w:rsid w:val="003F33B5"/>
    <w:rsid w:val="00413680"/>
    <w:rsid w:val="00415ADD"/>
    <w:rsid w:val="00420D9A"/>
    <w:rsid w:val="00424164"/>
    <w:rsid w:val="00425ADF"/>
    <w:rsid w:val="00426FF1"/>
    <w:rsid w:val="00430D62"/>
    <w:rsid w:val="004327D1"/>
    <w:rsid w:val="00436F6B"/>
    <w:rsid w:val="0044018D"/>
    <w:rsid w:val="004410B9"/>
    <w:rsid w:val="00447552"/>
    <w:rsid w:val="00451ACC"/>
    <w:rsid w:val="00455E0F"/>
    <w:rsid w:val="0045748D"/>
    <w:rsid w:val="00464C7E"/>
    <w:rsid w:val="00476ACB"/>
    <w:rsid w:val="00477EEB"/>
    <w:rsid w:val="00481694"/>
    <w:rsid w:val="0048209E"/>
    <w:rsid w:val="0048353B"/>
    <w:rsid w:val="00496B6E"/>
    <w:rsid w:val="004973DF"/>
    <w:rsid w:val="004B1A41"/>
    <w:rsid w:val="004C1567"/>
    <w:rsid w:val="004C5E1E"/>
    <w:rsid w:val="004D6238"/>
    <w:rsid w:val="004E3FBB"/>
    <w:rsid w:val="004E556C"/>
    <w:rsid w:val="004F35AD"/>
    <w:rsid w:val="004F3F20"/>
    <w:rsid w:val="004F5073"/>
    <w:rsid w:val="00504C1A"/>
    <w:rsid w:val="00506C3E"/>
    <w:rsid w:val="00512870"/>
    <w:rsid w:val="005140CC"/>
    <w:rsid w:val="0051458B"/>
    <w:rsid w:val="0052131C"/>
    <w:rsid w:val="00522354"/>
    <w:rsid w:val="00522929"/>
    <w:rsid w:val="005234B1"/>
    <w:rsid w:val="005275F2"/>
    <w:rsid w:val="00547D56"/>
    <w:rsid w:val="00551B22"/>
    <w:rsid w:val="00555979"/>
    <w:rsid w:val="005603CE"/>
    <w:rsid w:val="00563A90"/>
    <w:rsid w:val="005719A4"/>
    <w:rsid w:val="005813D3"/>
    <w:rsid w:val="00591F91"/>
    <w:rsid w:val="00594A7B"/>
    <w:rsid w:val="0059665F"/>
    <w:rsid w:val="005A7420"/>
    <w:rsid w:val="005B48B9"/>
    <w:rsid w:val="005C2EAC"/>
    <w:rsid w:val="005C3094"/>
    <w:rsid w:val="005C3AA3"/>
    <w:rsid w:val="005C4094"/>
    <w:rsid w:val="005C62E6"/>
    <w:rsid w:val="005C67B6"/>
    <w:rsid w:val="005F550C"/>
    <w:rsid w:val="005F7175"/>
    <w:rsid w:val="0061059D"/>
    <w:rsid w:val="00614D9D"/>
    <w:rsid w:val="0063155B"/>
    <w:rsid w:val="00633045"/>
    <w:rsid w:val="0063462D"/>
    <w:rsid w:val="006379A5"/>
    <w:rsid w:val="00637BA9"/>
    <w:rsid w:val="00641353"/>
    <w:rsid w:val="00644866"/>
    <w:rsid w:val="00647681"/>
    <w:rsid w:val="00655113"/>
    <w:rsid w:val="0065765E"/>
    <w:rsid w:val="00657BE4"/>
    <w:rsid w:val="00660D5D"/>
    <w:rsid w:val="0066516A"/>
    <w:rsid w:val="006667A0"/>
    <w:rsid w:val="006706E1"/>
    <w:rsid w:val="00684D0E"/>
    <w:rsid w:val="006872EB"/>
    <w:rsid w:val="00691675"/>
    <w:rsid w:val="0069349B"/>
    <w:rsid w:val="00694D82"/>
    <w:rsid w:val="00696F94"/>
    <w:rsid w:val="006A1115"/>
    <w:rsid w:val="006A2248"/>
    <w:rsid w:val="006A47EE"/>
    <w:rsid w:val="006A4B96"/>
    <w:rsid w:val="006B2CCC"/>
    <w:rsid w:val="006B419D"/>
    <w:rsid w:val="006B4FF7"/>
    <w:rsid w:val="006B56B0"/>
    <w:rsid w:val="006B7103"/>
    <w:rsid w:val="006E620D"/>
    <w:rsid w:val="006E6B14"/>
    <w:rsid w:val="006E76FD"/>
    <w:rsid w:val="006F3B4A"/>
    <w:rsid w:val="006F49FB"/>
    <w:rsid w:val="006F6E27"/>
    <w:rsid w:val="00707154"/>
    <w:rsid w:val="00707189"/>
    <w:rsid w:val="00711525"/>
    <w:rsid w:val="0071289E"/>
    <w:rsid w:val="00712D38"/>
    <w:rsid w:val="00713F67"/>
    <w:rsid w:val="00725261"/>
    <w:rsid w:val="00737F36"/>
    <w:rsid w:val="00761DFD"/>
    <w:rsid w:val="00762B14"/>
    <w:rsid w:val="00763D2A"/>
    <w:rsid w:val="00772313"/>
    <w:rsid w:val="00785B9A"/>
    <w:rsid w:val="007958BA"/>
    <w:rsid w:val="00796400"/>
    <w:rsid w:val="007A0EF4"/>
    <w:rsid w:val="007A5CDE"/>
    <w:rsid w:val="007A6B27"/>
    <w:rsid w:val="007B6ECC"/>
    <w:rsid w:val="007C334D"/>
    <w:rsid w:val="007C743C"/>
    <w:rsid w:val="007D002F"/>
    <w:rsid w:val="007D37CD"/>
    <w:rsid w:val="007D50A0"/>
    <w:rsid w:val="007D6E91"/>
    <w:rsid w:val="007E6C93"/>
    <w:rsid w:val="007E7D66"/>
    <w:rsid w:val="007F1619"/>
    <w:rsid w:val="007F42E7"/>
    <w:rsid w:val="00800418"/>
    <w:rsid w:val="00801A6A"/>
    <w:rsid w:val="00803ECF"/>
    <w:rsid w:val="00804BDB"/>
    <w:rsid w:val="0081172F"/>
    <w:rsid w:val="008140BD"/>
    <w:rsid w:val="008150DC"/>
    <w:rsid w:val="00820F5B"/>
    <w:rsid w:val="008319F3"/>
    <w:rsid w:val="0083207C"/>
    <w:rsid w:val="0083218C"/>
    <w:rsid w:val="00837452"/>
    <w:rsid w:val="00863CA0"/>
    <w:rsid w:val="00880505"/>
    <w:rsid w:val="00885D65"/>
    <w:rsid w:val="00892048"/>
    <w:rsid w:val="00892613"/>
    <w:rsid w:val="00895DA4"/>
    <w:rsid w:val="008A1B84"/>
    <w:rsid w:val="008A2F26"/>
    <w:rsid w:val="008A5164"/>
    <w:rsid w:val="008A5B58"/>
    <w:rsid w:val="008B1DEE"/>
    <w:rsid w:val="008B2B06"/>
    <w:rsid w:val="008B6992"/>
    <w:rsid w:val="008C0E53"/>
    <w:rsid w:val="008D080B"/>
    <w:rsid w:val="008D0C25"/>
    <w:rsid w:val="008D343C"/>
    <w:rsid w:val="008D6E25"/>
    <w:rsid w:val="008E5CE7"/>
    <w:rsid w:val="008F280E"/>
    <w:rsid w:val="008F73EE"/>
    <w:rsid w:val="00900788"/>
    <w:rsid w:val="0091030E"/>
    <w:rsid w:val="009164D2"/>
    <w:rsid w:val="0091798D"/>
    <w:rsid w:val="00931366"/>
    <w:rsid w:val="00932666"/>
    <w:rsid w:val="00934BBF"/>
    <w:rsid w:val="00940BA5"/>
    <w:rsid w:val="0094626E"/>
    <w:rsid w:val="009466EF"/>
    <w:rsid w:val="009542B3"/>
    <w:rsid w:val="009577A6"/>
    <w:rsid w:val="00964A3C"/>
    <w:rsid w:val="0096558F"/>
    <w:rsid w:val="00967BD5"/>
    <w:rsid w:val="009706F7"/>
    <w:rsid w:val="00977165"/>
    <w:rsid w:val="00983E38"/>
    <w:rsid w:val="00984528"/>
    <w:rsid w:val="00991600"/>
    <w:rsid w:val="009953BB"/>
    <w:rsid w:val="009A4767"/>
    <w:rsid w:val="009A4946"/>
    <w:rsid w:val="009B630B"/>
    <w:rsid w:val="009D4BAA"/>
    <w:rsid w:val="009D795D"/>
    <w:rsid w:val="009E1B31"/>
    <w:rsid w:val="009F283F"/>
    <w:rsid w:val="00A01A2C"/>
    <w:rsid w:val="00A02A72"/>
    <w:rsid w:val="00A1134F"/>
    <w:rsid w:val="00A114F3"/>
    <w:rsid w:val="00A115E8"/>
    <w:rsid w:val="00A12C2B"/>
    <w:rsid w:val="00A17C75"/>
    <w:rsid w:val="00A227A9"/>
    <w:rsid w:val="00A30934"/>
    <w:rsid w:val="00A30A0E"/>
    <w:rsid w:val="00A32FC9"/>
    <w:rsid w:val="00A344CE"/>
    <w:rsid w:val="00A36703"/>
    <w:rsid w:val="00A37BB3"/>
    <w:rsid w:val="00A40AD7"/>
    <w:rsid w:val="00A40AFB"/>
    <w:rsid w:val="00A523EA"/>
    <w:rsid w:val="00A5257D"/>
    <w:rsid w:val="00A52DB2"/>
    <w:rsid w:val="00A721FB"/>
    <w:rsid w:val="00A72984"/>
    <w:rsid w:val="00A75BA3"/>
    <w:rsid w:val="00A76EDC"/>
    <w:rsid w:val="00A77684"/>
    <w:rsid w:val="00A80230"/>
    <w:rsid w:val="00A824A5"/>
    <w:rsid w:val="00A854C0"/>
    <w:rsid w:val="00A86CA7"/>
    <w:rsid w:val="00A92A5D"/>
    <w:rsid w:val="00A9310F"/>
    <w:rsid w:val="00AA4738"/>
    <w:rsid w:val="00AB1644"/>
    <w:rsid w:val="00AB2705"/>
    <w:rsid w:val="00AC46E9"/>
    <w:rsid w:val="00AD1DB6"/>
    <w:rsid w:val="00AD5EEB"/>
    <w:rsid w:val="00AD6570"/>
    <w:rsid w:val="00AE6466"/>
    <w:rsid w:val="00AF69C6"/>
    <w:rsid w:val="00AF6DF8"/>
    <w:rsid w:val="00B00ABE"/>
    <w:rsid w:val="00B01455"/>
    <w:rsid w:val="00B147A7"/>
    <w:rsid w:val="00B1697A"/>
    <w:rsid w:val="00B24BFF"/>
    <w:rsid w:val="00B35AAF"/>
    <w:rsid w:val="00B46CA8"/>
    <w:rsid w:val="00B5138D"/>
    <w:rsid w:val="00B547F4"/>
    <w:rsid w:val="00B54D87"/>
    <w:rsid w:val="00B568D9"/>
    <w:rsid w:val="00B60D40"/>
    <w:rsid w:val="00B6691B"/>
    <w:rsid w:val="00B6703B"/>
    <w:rsid w:val="00B67D8E"/>
    <w:rsid w:val="00B71C9C"/>
    <w:rsid w:val="00B73576"/>
    <w:rsid w:val="00B800F1"/>
    <w:rsid w:val="00B804C2"/>
    <w:rsid w:val="00B92A3B"/>
    <w:rsid w:val="00B971D7"/>
    <w:rsid w:val="00BA12A3"/>
    <w:rsid w:val="00BB3213"/>
    <w:rsid w:val="00BB5099"/>
    <w:rsid w:val="00BB542A"/>
    <w:rsid w:val="00BD1843"/>
    <w:rsid w:val="00BD4532"/>
    <w:rsid w:val="00BD5310"/>
    <w:rsid w:val="00C040CE"/>
    <w:rsid w:val="00C109A8"/>
    <w:rsid w:val="00C25E71"/>
    <w:rsid w:val="00C30E61"/>
    <w:rsid w:val="00C31CE7"/>
    <w:rsid w:val="00C331E0"/>
    <w:rsid w:val="00C34772"/>
    <w:rsid w:val="00C407B9"/>
    <w:rsid w:val="00C44504"/>
    <w:rsid w:val="00C451F2"/>
    <w:rsid w:val="00C46609"/>
    <w:rsid w:val="00C50289"/>
    <w:rsid w:val="00C73860"/>
    <w:rsid w:val="00C8167B"/>
    <w:rsid w:val="00C92891"/>
    <w:rsid w:val="00CB011D"/>
    <w:rsid w:val="00CB3579"/>
    <w:rsid w:val="00CB3678"/>
    <w:rsid w:val="00CD27F1"/>
    <w:rsid w:val="00CD3150"/>
    <w:rsid w:val="00CF2E0C"/>
    <w:rsid w:val="00D005EE"/>
    <w:rsid w:val="00D12D6C"/>
    <w:rsid w:val="00D21ABE"/>
    <w:rsid w:val="00D21F90"/>
    <w:rsid w:val="00D2200F"/>
    <w:rsid w:val="00D220C0"/>
    <w:rsid w:val="00D25447"/>
    <w:rsid w:val="00D34461"/>
    <w:rsid w:val="00D352B6"/>
    <w:rsid w:val="00D418AF"/>
    <w:rsid w:val="00D52F9F"/>
    <w:rsid w:val="00D61FA5"/>
    <w:rsid w:val="00D62B65"/>
    <w:rsid w:val="00D7073E"/>
    <w:rsid w:val="00D76488"/>
    <w:rsid w:val="00D87026"/>
    <w:rsid w:val="00D97BB2"/>
    <w:rsid w:val="00DB1C40"/>
    <w:rsid w:val="00DB20C6"/>
    <w:rsid w:val="00DB5073"/>
    <w:rsid w:val="00DB5DF8"/>
    <w:rsid w:val="00DB720C"/>
    <w:rsid w:val="00DC5A05"/>
    <w:rsid w:val="00DC6269"/>
    <w:rsid w:val="00DD13FD"/>
    <w:rsid w:val="00DD6859"/>
    <w:rsid w:val="00DD7176"/>
    <w:rsid w:val="00DE2C25"/>
    <w:rsid w:val="00DE36C9"/>
    <w:rsid w:val="00DE3AB0"/>
    <w:rsid w:val="00DE7F9A"/>
    <w:rsid w:val="00DF2A27"/>
    <w:rsid w:val="00E1204A"/>
    <w:rsid w:val="00E13D32"/>
    <w:rsid w:val="00E3036A"/>
    <w:rsid w:val="00E34D49"/>
    <w:rsid w:val="00E362B6"/>
    <w:rsid w:val="00E46B26"/>
    <w:rsid w:val="00E50CB1"/>
    <w:rsid w:val="00E51EB9"/>
    <w:rsid w:val="00E5697A"/>
    <w:rsid w:val="00E6232A"/>
    <w:rsid w:val="00E62764"/>
    <w:rsid w:val="00E644F2"/>
    <w:rsid w:val="00E81644"/>
    <w:rsid w:val="00E83F8A"/>
    <w:rsid w:val="00E96A83"/>
    <w:rsid w:val="00EA0EAE"/>
    <w:rsid w:val="00EA10C4"/>
    <w:rsid w:val="00EA21A5"/>
    <w:rsid w:val="00EA381A"/>
    <w:rsid w:val="00EA4969"/>
    <w:rsid w:val="00EA7A66"/>
    <w:rsid w:val="00EC2F9B"/>
    <w:rsid w:val="00EC6767"/>
    <w:rsid w:val="00EC7658"/>
    <w:rsid w:val="00F0045D"/>
    <w:rsid w:val="00F033F8"/>
    <w:rsid w:val="00F04F6C"/>
    <w:rsid w:val="00F0629D"/>
    <w:rsid w:val="00F067FD"/>
    <w:rsid w:val="00F27859"/>
    <w:rsid w:val="00F356AB"/>
    <w:rsid w:val="00F40920"/>
    <w:rsid w:val="00F475AD"/>
    <w:rsid w:val="00F63CF0"/>
    <w:rsid w:val="00F65A36"/>
    <w:rsid w:val="00F75573"/>
    <w:rsid w:val="00F778B6"/>
    <w:rsid w:val="00F77F12"/>
    <w:rsid w:val="00FA4165"/>
    <w:rsid w:val="00FB3C98"/>
    <w:rsid w:val="00FD0F8B"/>
    <w:rsid w:val="00FD2D67"/>
    <w:rsid w:val="00FE2F6B"/>
    <w:rsid w:val="00FF3C7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EF50AD"/>
  <w15:chartTrackingRefBased/>
  <w15:docId w15:val="{BBCB3DAA-C371-434C-A951-EF34C5D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D220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915A-EB6A-4073-8D04-1470996A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885</TotalTime>
  <Pages>4</Pages>
  <Words>638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Higor Vieira</dc:creator>
  <cp:keywords/>
  <cp:lastModifiedBy>Teste</cp:lastModifiedBy>
  <cp:revision>117</cp:revision>
  <cp:lastPrinted>2015-04-28T19:24:00Z</cp:lastPrinted>
  <dcterms:created xsi:type="dcterms:W3CDTF">2018-10-02T14:15:00Z</dcterms:created>
  <dcterms:modified xsi:type="dcterms:W3CDTF">2022-07-08T12:42:00Z</dcterms:modified>
</cp:coreProperties>
</file>